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April sales performance</w:t>
      </w:r>
    </w:p>
    <w:p>
      <w:pPr>
        <w:spacing w:after="160"/>
      </w:pPr>
      <w:r>
        <w:t>Chaski sample report for April 2026 compared with March 2026</w:t>
      </w:r>
    </w:p>
    <w:p>
      <w:r>
        <w:rPr>
          <w:i/>
          <w:sz w:val="18"/>
        </w:rPr>
        <w:t>Illustrative sample. All customer names, document references and amounts in this report are fictional.</w:t>
      </w:r>
    </w:p>
    <w:p>
      <w:r>
        <w:t>April invoice totals reached USD 128,400, up 16.7% from March. Northstar Labs contributed USD 9,000 of the USD 18,350 increase, the largest contribution of any customer. April credit notes totaled USD 4,800, leaving USD 123,600 in invoices less credits.</w:t>
      </w:r>
    </w:p>
    <w:p>
      <w:pPr>
        <w:pStyle w:val="Heading1"/>
      </w:pPr>
      <w:r>
        <w:t>Monthly comparison</w:t>
      </w:r>
    </w:p>
    <w:tbl>
      <w:tblPr>
        <w:tblW w:type="auto" w:w="0"/>
        <w:jc w:val="center"/>
        <w:tblLayout w:type="fixed"/>
        <w:tblLook w:firstColumn="1" w:firstRow="1" w:lastColumn="0" w:lastRow="0" w:noHBand="0" w:noVBand="1" w:val="04A0"/>
      </w:tblPr>
      <w:tblGrid>
        <w:gridCol w:w="4032"/>
        <w:gridCol w:w="1944"/>
        <w:gridCol w:w="1944"/>
        <w:gridCol w:w="2232"/>
      </w:tblGrid>
      <w:tr>
        <w:trPr>
          <w:tblHeader/>
        </w:trP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pPr>
            <w:r>
              <w:rPr>
                <w:b/>
                <w:color w:val="FFFFFF"/>
                <w:sz w:val="19"/>
              </w:rPr>
              <w:t>USD unless stated</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March</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April</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Change</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pPr>
            <w:r>
              <w:rPr>
                <w:sz w:val="19"/>
              </w:rPr>
              <w:t>Invoice totals</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$110,050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$128,400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16.7%</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pPr>
            <w:r>
              <w:rPr>
                <w:sz w:val="19"/>
              </w:rPr>
              <w:t>Credit notes</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$3,600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$4,800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33.3%</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pPr>
            <w:r>
              <w:rPr>
                <w:sz w:val="19"/>
              </w:rPr>
              <w:t>Invoices less credits</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$106,450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$123,600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16.1%</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pPr>
            <w:r>
              <w:rPr>
                <w:sz w:val="19"/>
              </w:rPr>
              <w:t>Invoice count</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7</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11</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57.1%</w:t>
            </w:r>
          </w:p>
        </w:tc>
      </w:tr>
    </w:tbl>
    <w:p>
      <w:pPr>
        <w:pStyle w:val="Heading1"/>
      </w:pPr>
      <w:r>
        <w:t>Customer contributions</w:t>
      </w:r>
    </w:p>
    <w:tbl>
      <w:tblPr>
        <w:tblW w:type="auto" w:w="0"/>
        <w:jc w:val="center"/>
        <w:tblLayout w:type="fixed"/>
        <w:tblLook w:firstColumn="1" w:firstRow="1" w:lastColumn="0" w:lastRow="0" w:noHBand="0" w:noVBand="1" w:val="04A0"/>
      </w:tblPr>
      <w:tblGrid>
        <w:gridCol w:w="4032"/>
        <w:gridCol w:w="1944"/>
        <w:gridCol w:w="1944"/>
        <w:gridCol w:w="2232"/>
      </w:tblGrid>
      <w:tr>
        <w:trPr>
          <w:tblHeader/>
        </w:trP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pPr>
            <w:r>
              <w:rPr>
                <w:b/>
                <w:color w:val="FFFFFF"/>
                <w:sz w:val="19"/>
              </w:rPr>
              <w:t>Customer</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March invoices</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April invoices</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Growth</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pPr>
            <w:r>
              <w:rPr>
                <w:sz w:val="19"/>
              </w:rPr>
              <w:t>Northstar Labs</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$36,800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$45,800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24.5%</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pPr>
            <w:r>
              <w:rPr>
                <w:sz w:val="19"/>
              </w:rPr>
              <w:t>Atlas Medical</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$30,700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$34,600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12.7%</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pPr>
            <w:r>
              <w:rPr>
                <w:sz w:val="19"/>
              </w:rPr>
              <w:t>Other customers</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$42,550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$48,000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12.8%</w:t>
            </w:r>
          </w:p>
        </w:tc>
      </w:tr>
    </w:tbl>
    <w:p>
      <w:pPr>
        <w:spacing w:before="140"/>
      </w:pPr>
      <w:r>
        <w:t>Northstar accounts for 49.0% of the invoice increase. Atlas contributes 21.3%, and the other three customers contribute 29.7%. All five fictional customers have higher invoice totals in April.</w:t>
      </w:r>
    </w:p>
    <w:p>
      <w:pPr>
        <w:pStyle w:val="Heading1"/>
      </w:pPr>
      <w:r>
        <w:t>Source records and interpretation</w:t>
      </w:r>
    </w:p>
    <w:p>
      <w:r>
        <w:t>The companion Excel workbook contains all 24 fictional invoice and credit-note records, filterable by date, type and customer. Its formulas reconcile the monthly totals and customer contributions. Example references include DEMO-I1042 for Northstar Labs at USD 12,400 and DEMO-C218 for a USD 1,200 credit note.</w:t>
      </w:r>
    </w:p>
    <w:p>
      <w:r>
        <w:t>Amounts include tax. Invoices and credits use their posting dates and exclude cancelled documents. Invoices less credits is a document-total measure; it does not represent cash collected or profit. Customer comparisons use invoice totals before credit notes.</w:t>
      </w:r>
    </w:p>
    <w:sectPr w:rsidR="00FC693F" w:rsidRPr="0006063C" w:rsidSect="00034616">
      <w:pgSz w:w="12240" w:h="15840"/>
      <w:pgMar w:top="1008"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Chaski sample sales review</dc:title>
  <dc:subject>Fictional sales report demonstrating Word and Excel deliverables</dc:subject>
  <dc:creator>Chaski</dc:creator>
  <cp:keywords>sample, fictional, illustrative</cp:keywords>
  <dc:description>generated by python-docx</dc:description>
  <cp:lastModifiedBy>Chaski</cp:lastModifiedBy>
  <cp:revision>1</cp:revision>
  <dcterms:created xsi:type="dcterms:W3CDTF">2013-12-23T23:15:00Z</dcterms:created>
  <dcterms:modified xsi:type="dcterms:W3CDTF">2013-12-23T23:15:00Z</dcterms:modified>
  <cp:category/>
</cp:coreProperties>
</file>